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086A8" w14:textId="77777777" w:rsidR="00B35537" w:rsidRDefault="00B35537" w:rsidP="00B173E7">
      <w:pPr>
        <w:rPr>
          <w:kern w:val="2"/>
          <w:lang w:val="en"/>
          <w14:ligatures w14:val="standardContextual"/>
        </w:rPr>
      </w:pPr>
    </w:p>
    <w:p w14:paraId="490A0250" w14:textId="77777777" w:rsidR="00B35537" w:rsidRDefault="00B35537" w:rsidP="00B35537">
      <w:pPr>
        <w:rPr>
          <w:kern w:val="2"/>
          <w14:ligatures w14:val="standardContextual"/>
        </w:rPr>
      </w:pPr>
    </w:p>
    <w:p w14:paraId="6EC7C842" w14:textId="00FEC64C" w:rsidR="00B35537" w:rsidRPr="00B35537" w:rsidRDefault="00B35537" w:rsidP="00B35537">
      <w:pPr>
        <w:rPr>
          <w:kern w:val="2"/>
          <w14:ligatures w14:val="standardContextual"/>
        </w:rPr>
      </w:pPr>
      <w:r w:rsidRPr="00B35537">
        <w:rPr>
          <w:kern w:val="2"/>
          <w14:ligatures w14:val="standardContextual"/>
        </w:rPr>
        <w:t>GASP (Group Against Smog and Pollution) strongly opposes the interim final rule published on July 3 that delays compliance deadlines for National Emission Standards for Hazardous Air Pollutants for Integrated Iron and Steel Making Facilities. </w:t>
      </w:r>
    </w:p>
    <w:p w14:paraId="015A73C2" w14:textId="77777777" w:rsidR="00B35537" w:rsidRPr="00B35537" w:rsidRDefault="00B35537" w:rsidP="00B35537">
      <w:pPr>
        <w:rPr>
          <w:kern w:val="2"/>
          <w14:ligatures w14:val="standardContextual"/>
        </w:rPr>
      </w:pPr>
      <w:r w:rsidRPr="00B35537">
        <w:rPr>
          <w:kern w:val="2"/>
          <w14:ligatures w14:val="standardContextual"/>
        </w:rPr>
        <w:t>These revisions, which were initially set to improve air quality and protect public health, are now being undermined by extended compliance timelines, specifically impacting facilities like U.S. Steel’s Edgar Thomson Works in our region.</w:t>
      </w:r>
    </w:p>
    <w:p w14:paraId="06177C9F" w14:textId="77777777" w:rsidR="00B35537" w:rsidRPr="00B35537" w:rsidRDefault="00B35537" w:rsidP="00B35537">
      <w:pPr>
        <w:rPr>
          <w:kern w:val="2"/>
          <w14:ligatures w14:val="standardContextual"/>
        </w:rPr>
      </w:pPr>
      <w:r w:rsidRPr="00B35537">
        <w:rPr>
          <w:kern w:val="2"/>
          <w14:ligatures w14:val="standardContextual"/>
        </w:rPr>
        <w:t>The decision to push back compliance deadlines from April 3, 2025, or April 3, 2026, to April 3, 2027, for critical standards is unacceptable. </w:t>
      </w:r>
    </w:p>
    <w:p w14:paraId="4E149A82" w14:textId="77777777" w:rsidR="00B35537" w:rsidRPr="00B35537" w:rsidRDefault="00B35537" w:rsidP="00B35537">
      <w:pPr>
        <w:rPr>
          <w:kern w:val="2"/>
          <w14:ligatures w14:val="standardContextual"/>
        </w:rPr>
      </w:pPr>
      <w:r w:rsidRPr="00B35537">
        <w:rPr>
          <w:kern w:val="2"/>
          <w14:ligatures w14:val="standardContextual"/>
        </w:rPr>
        <w:t xml:space="preserve">While the EPA cites industry-provided information about infeasibility for most delays, and "consistency" for the </w:t>
      </w:r>
      <w:proofErr w:type="spellStart"/>
      <w:r w:rsidRPr="00B35537">
        <w:rPr>
          <w:kern w:val="2"/>
          <w14:ligatures w14:val="standardContextual"/>
        </w:rPr>
        <w:t>fenceline</w:t>
      </w:r>
      <w:proofErr w:type="spellEnd"/>
      <w:r w:rsidRPr="00B35537">
        <w:rPr>
          <w:kern w:val="2"/>
          <w14:ligatures w14:val="standardContextual"/>
        </w:rPr>
        <w:t xml:space="preserve"> monitoring requirement, these reasons do not outweigh the significant public health consequences. </w:t>
      </w:r>
    </w:p>
    <w:p w14:paraId="07783BCA" w14:textId="77777777" w:rsidR="00B35537" w:rsidRPr="00B35537" w:rsidRDefault="00B35537" w:rsidP="00B35537">
      <w:pPr>
        <w:rPr>
          <w:kern w:val="2"/>
          <w14:ligatures w14:val="standardContextual"/>
        </w:rPr>
      </w:pPr>
      <w:r w:rsidRPr="00B35537">
        <w:rPr>
          <w:kern w:val="2"/>
          <w14:ligatures w14:val="standardContextual"/>
        </w:rPr>
        <w:t>This delay, while saving nine facilities an estimated $3.3 to $3.5 million, will result in an additional 120 tons of hazardous air pollutants being emitted that would have been avoided under the original deadlines. </w:t>
      </w:r>
    </w:p>
    <w:p w14:paraId="2A9A5E58" w14:textId="77777777" w:rsidR="00B35537" w:rsidRPr="00B35537" w:rsidRDefault="00B35537" w:rsidP="00B35537">
      <w:pPr>
        <w:rPr>
          <w:kern w:val="2"/>
          <w14:ligatures w14:val="standardContextual"/>
        </w:rPr>
      </w:pPr>
      <w:r w:rsidRPr="00B35537">
        <w:rPr>
          <w:kern w:val="2"/>
          <w14:ligatures w14:val="standardContextual"/>
        </w:rPr>
        <w:t>This is a detrimental trade-off that prioritizes industry convenience and budget considerations over the health and well-being of frontline communities that disproportionately bear the burden of air pollution.</w:t>
      </w:r>
    </w:p>
    <w:p w14:paraId="7F222504" w14:textId="77777777" w:rsidR="00B35537" w:rsidRPr="00B35537" w:rsidRDefault="00B35537" w:rsidP="00B35537">
      <w:pPr>
        <w:rPr>
          <w:kern w:val="2"/>
          <w14:ligatures w14:val="standardContextual"/>
        </w:rPr>
      </w:pPr>
      <w:r w:rsidRPr="00B35537">
        <w:rPr>
          <w:kern w:val="2"/>
          <w14:ligatures w14:val="standardContextual"/>
        </w:rPr>
        <w:t>Delaying these vital protections jeopardizes air quality progress and prolongs exposure to harmful pollutants for communities living near these facilities. We urge the EPA to reverse this interim final rule and enforce the original compliance deadlines to safeguard public health and uphold environmental justice.</w:t>
      </w:r>
    </w:p>
    <w:p w14:paraId="68E720B0" w14:textId="4415FB1F" w:rsidR="004E5B4B" w:rsidRPr="004E5B4B" w:rsidRDefault="004E5B4B" w:rsidP="00A67063">
      <w:pPr>
        <w:rPr>
          <w:kern w:val="2"/>
          <w:lang w:val="en"/>
          <w14:ligatures w14:val="standardContextual"/>
        </w:rPr>
      </w:pPr>
    </w:p>
    <w:sectPr w:rsidR="004E5B4B" w:rsidRPr="004E5B4B" w:rsidSect="00071087">
      <w:headerReference w:type="default" r:id="rId8"/>
      <w:footerReference w:type="default" r:id="rId9"/>
      <w:headerReference w:type="first" r:id="rId10"/>
      <w:footerReference w:type="first" r:id="rId11"/>
      <w:pgSz w:w="12240" w:h="15840"/>
      <w:pgMar w:top="1440" w:right="1440" w:bottom="1440" w:left="144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CCCDC" w14:textId="77777777" w:rsidR="008D43C1" w:rsidRDefault="008D43C1" w:rsidP="00DB4A51">
      <w:pPr>
        <w:spacing w:after="0" w:line="240" w:lineRule="auto"/>
      </w:pPr>
      <w:r>
        <w:separator/>
      </w:r>
    </w:p>
  </w:endnote>
  <w:endnote w:type="continuationSeparator" w:id="0">
    <w:p w14:paraId="63CA4FF1" w14:textId="77777777" w:rsidR="008D43C1" w:rsidRDefault="008D43C1" w:rsidP="00DB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622416"/>
      <w:docPartObj>
        <w:docPartGallery w:val="Page Numbers (Bottom of Page)"/>
        <w:docPartUnique/>
      </w:docPartObj>
    </w:sdtPr>
    <w:sdtEndPr>
      <w:rPr>
        <w:noProof/>
      </w:rPr>
    </w:sdtEndPr>
    <w:sdtContent>
      <w:p w14:paraId="20108E60" w14:textId="4575D72B" w:rsidR="00262BC5" w:rsidRDefault="00262B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193DAE" w14:textId="77777777" w:rsidR="00262BC5" w:rsidRDefault="00262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687816"/>
      <w:docPartObj>
        <w:docPartGallery w:val="Page Numbers (Bottom of Page)"/>
        <w:docPartUnique/>
      </w:docPartObj>
    </w:sdtPr>
    <w:sdtEndPr>
      <w:rPr>
        <w:noProof/>
      </w:rPr>
    </w:sdtEndPr>
    <w:sdtContent>
      <w:p w14:paraId="7B997A55" w14:textId="3A59076D" w:rsidR="00262BC5" w:rsidRDefault="00262B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0EEE2E" w14:textId="77777777" w:rsidR="00262BC5" w:rsidRDefault="00262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5D8AD" w14:textId="77777777" w:rsidR="008D43C1" w:rsidRDefault="008D43C1" w:rsidP="00DB4A51">
      <w:pPr>
        <w:spacing w:after="0" w:line="240" w:lineRule="auto"/>
      </w:pPr>
      <w:r>
        <w:separator/>
      </w:r>
    </w:p>
  </w:footnote>
  <w:footnote w:type="continuationSeparator" w:id="0">
    <w:p w14:paraId="688DA0BC" w14:textId="77777777" w:rsidR="008D43C1" w:rsidRDefault="008D43C1" w:rsidP="00DB4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1DD9" w14:textId="072096FB" w:rsidR="00DB4A51" w:rsidRDefault="00DB4A51" w:rsidP="003877C4">
    <w:pPr>
      <w:pStyle w:val="Header"/>
    </w:pPr>
  </w:p>
  <w:p w14:paraId="636D871B" w14:textId="77777777" w:rsidR="00DB4A51" w:rsidRDefault="00DB4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552DB" w14:textId="645E7F42" w:rsidR="003877C4" w:rsidRDefault="007747E9" w:rsidP="007747E9">
    <w:pPr>
      <w:pStyle w:val="Header"/>
      <w:tabs>
        <w:tab w:val="left" w:pos="90"/>
      </w:tabs>
    </w:pPr>
    <w:r>
      <w:rPr>
        <w:noProof/>
      </w:rPr>
      <w:drawing>
        <wp:anchor distT="0" distB="0" distL="114300" distR="114300" simplePos="0" relativeHeight="251658240" behindDoc="0" locked="0" layoutInCell="1" allowOverlap="1" wp14:anchorId="57A88735" wp14:editId="5EAB2D80">
          <wp:simplePos x="0" y="0"/>
          <wp:positionH relativeFrom="column">
            <wp:posOffset>4312920</wp:posOffset>
          </wp:positionH>
          <wp:positionV relativeFrom="paragraph">
            <wp:posOffset>7620</wp:posOffset>
          </wp:positionV>
          <wp:extent cx="1798320" cy="1798320"/>
          <wp:effectExtent l="0" t="0" r="0" b="0"/>
          <wp:wrapNone/>
          <wp:docPr id="801314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314127"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98320" cy="1798320"/>
                  </a:xfrm>
                  <a:prstGeom prst="rect">
                    <a:avLst/>
                  </a:prstGeom>
                </pic:spPr>
              </pic:pic>
            </a:graphicData>
          </a:graphic>
          <wp14:sizeRelH relativeFrom="margin">
            <wp14:pctWidth>0</wp14:pctWidth>
          </wp14:sizeRelH>
          <wp14:sizeRelV relativeFrom="margin">
            <wp14:pctHeight>0</wp14:pctHeight>
          </wp14:sizeRelV>
        </wp:anchor>
      </w:drawing>
    </w:r>
  </w:p>
  <w:p w14:paraId="0D429179" w14:textId="77777777" w:rsidR="003E3759" w:rsidRDefault="007747E9" w:rsidP="007747E9">
    <w:pPr>
      <w:pStyle w:val="Header"/>
      <w:rPr>
        <w:b/>
        <w:bCs/>
      </w:rPr>
    </w:pPr>
    <w:r>
      <w:rPr>
        <w:b/>
        <w:bCs/>
      </w:rPr>
      <w:br/>
    </w:r>
  </w:p>
  <w:p w14:paraId="49A6A6CF" w14:textId="77777777" w:rsidR="003E3759" w:rsidRDefault="003E3759" w:rsidP="007747E9">
    <w:pPr>
      <w:pStyle w:val="Header"/>
      <w:rPr>
        <w:b/>
        <w:bCs/>
      </w:rPr>
    </w:pPr>
  </w:p>
  <w:p w14:paraId="7269BFAE" w14:textId="4DD39923" w:rsidR="007747E9" w:rsidRPr="007747E9" w:rsidRDefault="007747E9" w:rsidP="007747E9">
    <w:pPr>
      <w:pStyle w:val="Header"/>
      <w:rPr>
        <w:b/>
        <w:bCs/>
      </w:rPr>
    </w:pPr>
    <w:r w:rsidRPr="002A18E0">
      <w:t>1133 S. Braddock Avenue</w:t>
    </w:r>
    <w:r w:rsidRPr="002A18E0">
      <w:tab/>
    </w:r>
    <w:r w:rsidRPr="002A18E0">
      <w:br/>
      <w:t>Suite 1A</w:t>
    </w:r>
    <w:r w:rsidRPr="002A18E0">
      <w:br/>
      <w:t>Pittsburgh, PA 15218</w:t>
    </w:r>
    <w:r w:rsidRPr="002A18E0">
      <w:br/>
      <w:t>(412) 924-0604</w:t>
    </w:r>
    <w:r w:rsidRPr="007747E9">
      <w:rPr>
        <w:b/>
        <w:bCs/>
      </w:rPr>
      <w:br/>
    </w:r>
    <w:hyperlink r:id="rId2" w:history="1">
      <w:r w:rsidRPr="007747E9">
        <w:rPr>
          <w:rStyle w:val="Hyperlink"/>
          <w:b/>
          <w:bCs/>
        </w:rPr>
        <w:t>www.gasp-pgh.org</w:t>
      </w:r>
    </w:hyperlink>
    <w:r w:rsidRPr="007747E9">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6D43"/>
    <w:multiLevelType w:val="multilevel"/>
    <w:tmpl w:val="F7D43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C5006"/>
    <w:multiLevelType w:val="multilevel"/>
    <w:tmpl w:val="53B6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E50FD"/>
    <w:multiLevelType w:val="hybridMultilevel"/>
    <w:tmpl w:val="63E0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825FA"/>
    <w:multiLevelType w:val="hybridMultilevel"/>
    <w:tmpl w:val="8AB49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8E5EF2"/>
    <w:multiLevelType w:val="hybridMultilevel"/>
    <w:tmpl w:val="7B4E070E"/>
    <w:lvl w:ilvl="0" w:tplc="CBFE5030">
      <w:numFmt w:val="bullet"/>
      <w:lvlText w:val=""/>
      <w:lvlJc w:val="left"/>
      <w:pPr>
        <w:ind w:left="1080" w:hanging="360"/>
      </w:pPr>
      <w:rPr>
        <w:rFonts w:ascii="Symbol" w:eastAsiaTheme="minorHAnsi" w:hAnsi="Symbol"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F315A2"/>
    <w:multiLevelType w:val="hybridMultilevel"/>
    <w:tmpl w:val="213A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C7D0B"/>
    <w:multiLevelType w:val="hybridMultilevel"/>
    <w:tmpl w:val="C2CCB840"/>
    <w:lvl w:ilvl="0" w:tplc="CBFE503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967AD"/>
    <w:multiLevelType w:val="hybridMultilevel"/>
    <w:tmpl w:val="CE38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D6213"/>
    <w:multiLevelType w:val="hybridMultilevel"/>
    <w:tmpl w:val="7CA8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A01D5"/>
    <w:multiLevelType w:val="hybridMultilevel"/>
    <w:tmpl w:val="1158D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3776C"/>
    <w:multiLevelType w:val="hybridMultilevel"/>
    <w:tmpl w:val="465CC5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0B3E7F"/>
    <w:multiLevelType w:val="hybridMultilevel"/>
    <w:tmpl w:val="C3B2F500"/>
    <w:lvl w:ilvl="0" w:tplc="CBFE5030">
      <w:numFmt w:val="bullet"/>
      <w:lvlText w:val=""/>
      <w:lvlJc w:val="left"/>
      <w:pPr>
        <w:ind w:left="1080" w:hanging="360"/>
      </w:pPr>
      <w:rPr>
        <w:rFonts w:ascii="Symbol" w:eastAsiaTheme="minorHAnsi" w:hAnsi="Symbol"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19A4689"/>
    <w:multiLevelType w:val="hybridMultilevel"/>
    <w:tmpl w:val="F904A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27DD3"/>
    <w:multiLevelType w:val="hybridMultilevel"/>
    <w:tmpl w:val="BDB0B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790917">
    <w:abstractNumId w:val="6"/>
  </w:num>
  <w:num w:numId="2" w16cid:durableId="687873005">
    <w:abstractNumId w:val="5"/>
  </w:num>
  <w:num w:numId="3" w16cid:durableId="244072976">
    <w:abstractNumId w:val="9"/>
  </w:num>
  <w:num w:numId="4" w16cid:durableId="854000502">
    <w:abstractNumId w:val="3"/>
  </w:num>
  <w:num w:numId="5" w16cid:durableId="136341352">
    <w:abstractNumId w:val="8"/>
  </w:num>
  <w:num w:numId="6" w16cid:durableId="1390496807">
    <w:abstractNumId w:val="13"/>
  </w:num>
  <w:num w:numId="7" w16cid:durableId="1063525384">
    <w:abstractNumId w:val="7"/>
  </w:num>
  <w:num w:numId="8" w16cid:durableId="139657787">
    <w:abstractNumId w:val="2"/>
  </w:num>
  <w:num w:numId="9" w16cid:durableId="1213465353">
    <w:abstractNumId w:val="12"/>
  </w:num>
  <w:num w:numId="10" w16cid:durableId="906837002">
    <w:abstractNumId w:val="11"/>
  </w:num>
  <w:num w:numId="11" w16cid:durableId="285937933">
    <w:abstractNumId w:val="4"/>
  </w:num>
  <w:num w:numId="12" w16cid:durableId="991258474">
    <w:abstractNumId w:val="0"/>
  </w:num>
  <w:num w:numId="13" w16cid:durableId="623384925">
    <w:abstractNumId w:val="1"/>
  </w:num>
  <w:num w:numId="14" w16cid:durableId="1979410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51"/>
    <w:rsid w:val="00017D91"/>
    <w:rsid w:val="00023842"/>
    <w:rsid w:val="00043AF3"/>
    <w:rsid w:val="000452E7"/>
    <w:rsid w:val="0005614E"/>
    <w:rsid w:val="00071087"/>
    <w:rsid w:val="000717C8"/>
    <w:rsid w:val="000840A2"/>
    <w:rsid w:val="000A2DF4"/>
    <w:rsid w:val="000B543A"/>
    <w:rsid w:val="001029D9"/>
    <w:rsid w:val="00141B7E"/>
    <w:rsid w:val="00153263"/>
    <w:rsid w:val="00180115"/>
    <w:rsid w:val="001E1DE5"/>
    <w:rsid w:val="002021DC"/>
    <w:rsid w:val="00225108"/>
    <w:rsid w:val="00227F62"/>
    <w:rsid w:val="002518A0"/>
    <w:rsid w:val="00262BC5"/>
    <w:rsid w:val="002A18E0"/>
    <w:rsid w:val="002A524D"/>
    <w:rsid w:val="002C2A28"/>
    <w:rsid w:val="002C4D05"/>
    <w:rsid w:val="002D0389"/>
    <w:rsid w:val="00314F81"/>
    <w:rsid w:val="003275D2"/>
    <w:rsid w:val="00330EAD"/>
    <w:rsid w:val="0033494F"/>
    <w:rsid w:val="003877C4"/>
    <w:rsid w:val="00393D1C"/>
    <w:rsid w:val="003D7D29"/>
    <w:rsid w:val="003E3759"/>
    <w:rsid w:val="00432C61"/>
    <w:rsid w:val="00446868"/>
    <w:rsid w:val="004603F8"/>
    <w:rsid w:val="004D532F"/>
    <w:rsid w:val="004D5D41"/>
    <w:rsid w:val="004E1A41"/>
    <w:rsid w:val="004E5B4B"/>
    <w:rsid w:val="005275E5"/>
    <w:rsid w:val="0053528B"/>
    <w:rsid w:val="00535550"/>
    <w:rsid w:val="00543460"/>
    <w:rsid w:val="00554837"/>
    <w:rsid w:val="005B253A"/>
    <w:rsid w:val="005B29DD"/>
    <w:rsid w:val="005D41C6"/>
    <w:rsid w:val="005E15F3"/>
    <w:rsid w:val="00602F7F"/>
    <w:rsid w:val="006065D8"/>
    <w:rsid w:val="0061080A"/>
    <w:rsid w:val="006127DC"/>
    <w:rsid w:val="006A16BC"/>
    <w:rsid w:val="006E1D11"/>
    <w:rsid w:val="00736F3D"/>
    <w:rsid w:val="0074315F"/>
    <w:rsid w:val="0075228A"/>
    <w:rsid w:val="00761F61"/>
    <w:rsid w:val="007747E9"/>
    <w:rsid w:val="007C162D"/>
    <w:rsid w:val="007C4959"/>
    <w:rsid w:val="00805B35"/>
    <w:rsid w:val="00813B3E"/>
    <w:rsid w:val="008260EC"/>
    <w:rsid w:val="008A1653"/>
    <w:rsid w:val="008A20DD"/>
    <w:rsid w:val="008A7F44"/>
    <w:rsid w:val="008C143F"/>
    <w:rsid w:val="008D43C1"/>
    <w:rsid w:val="008F74B7"/>
    <w:rsid w:val="0090744B"/>
    <w:rsid w:val="00936489"/>
    <w:rsid w:val="009562E6"/>
    <w:rsid w:val="00987B91"/>
    <w:rsid w:val="009961AA"/>
    <w:rsid w:val="009E6421"/>
    <w:rsid w:val="00A41F86"/>
    <w:rsid w:val="00A6570E"/>
    <w:rsid w:val="00A67063"/>
    <w:rsid w:val="00A7464A"/>
    <w:rsid w:val="00A75214"/>
    <w:rsid w:val="00A86EC4"/>
    <w:rsid w:val="00AC0EBA"/>
    <w:rsid w:val="00AC6E10"/>
    <w:rsid w:val="00B0380B"/>
    <w:rsid w:val="00B11511"/>
    <w:rsid w:val="00B173E7"/>
    <w:rsid w:val="00B33F09"/>
    <w:rsid w:val="00B35537"/>
    <w:rsid w:val="00B35C95"/>
    <w:rsid w:val="00B37865"/>
    <w:rsid w:val="00B702A1"/>
    <w:rsid w:val="00B77B9B"/>
    <w:rsid w:val="00B81BC4"/>
    <w:rsid w:val="00BB213D"/>
    <w:rsid w:val="00BB326E"/>
    <w:rsid w:val="00C17F89"/>
    <w:rsid w:val="00C43535"/>
    <w:rsid w:val="00C56C52"/>
    <w:rsid w:val="00C84008"/>
    <w:rsid w:val="00CA3CFC"/>
    <w:rsid w:val="00CA6796"/>
    <w:rsid w:val="00CB4470"/>
    <w:rsid w:val="00CD6058"/>
    <w:rsid w:val="00D21202"/>
    <w:rsid w:val="00D24E3F"/>
    <w:rsid w:val="00D6069B"/>
    <w:rsid w:val="00D840A8"/>
    <w:rsid w:val="00DB4A51"/>
    <w:rsid w:val="00DD1011"/>
    <w:rsid w:val="00DE149B"/>
    <w:rsid w:val="00E831A0"/>
    <w:rsid w:val="00EE63F3"/>
    <w:rsid w:val="00EF6C18"/>
    <w:rsid w:val="00F31D98"/>
    <w:rsid w:val="00F66387"/>
    <w:rsid w:val="00F759F2"/>
    <w:rsid w:val="00F94C6F"/>
    <w:rsid w:val="00FC3580"/>
    <w:rsid w:val="00FD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93A06"/>
  <w15:chartTrackingRefBased/>
  <w15:docId w15:val="{FD8A2D2B-8B84-4D6E-A69E-21F3D516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9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A51"/>
  </w:style>
  <w:style w:type="paragraph" w:styleId="Footer">
    <w:name w:val="footer"/>
    <w:basedOn w:val="Normal"/>
    <w:link w:val="FooterChar"/>
    <w:uiPriority w:val="99"/>
    <w:unhideWhenUsed/>
    <w:rsid w:val="00DB4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A51"/>
  </w:style>
  <w:style w:type="character" w:styleId="Hyperlink">
    <w:name w:val="Hyperlink"/>
    <w:basedOn w:val="DefaultParagraphFont"/>
    <w:uiPriority w:val="99"/>
    <w:unhideWhenUsed/>
    <w:rsid w:val="00AC0EBA"/>
    <w:rPr>
      <w:color w:val="0563C1" w:themeColor="hyperlink"/>
      <w:u w:val="single"/>
    </w:rPr>
  </w:style>
  <w:style w:type="character" w:styleId="UnresolvedMention">
    <w:name w:val="Unresolved Mention"/>
    <w:basedOn w:val="DefaultParagraphFont"/>
    <w:uiPriority w:val="99"/>
    <w:semiHidden/>
    <w:unhideWhenUsed/>
    <w:rsid w:val="00AC0EBA"/>
    <w:rPr>
      <w:color w:val="605E5C"/>
      <w:shd w:val="clear" w:color="auto" w:fill="E1DFDD"/>
    </w:rPr>
  </w:style>
  <w:style w:type="paragraph" w:styleId="ListParagraph">
    <w:name w:val="List Paragraph"/>
    <w:basedOn w:val="Normal"/>
    <w:uiPriority w:val="34"/>
    <w:qFormat/>
    <w:rsid w:val="0033494F"/>
    <w:pPr>
      <w:ind w:left="720"/>
      <w:contextualSpacing/>
    </w:pPr>
  </w:style>
  <w:style w:type="character" w:styleId="CommentReference">
    <w:name w:val="annotation reference"/>
    <w:basedOn w:val="DefaultParagraphFont"/>
    <w:uiPriority w:val="99"/>
    <w:semiHidden/>
    <w:unhideWhenUsed/>
    <w:rsid w:val="00B77B9B"/>
    <w:rPr>
      <w:sz w:val="16"/>
      <w:szCs w:val="16"/>
    </w:rPr>
  </w:style>
  <w:style w:type="paragraph" w:styleId="CommentText">
    <w:name w:val="annotation text"/>
    <w:basedOn w:val="Normal"/>
    <w:link w:val="CommentTextChar"/>
    <w:uiPriority w:val="99"/>
    <w:unhideWhenUsed/>
    <w:rsid w:val="00B77B9B"/>
    <w:pPr>
      <w:spacing w:line="240" w:lineRule="auto"/>
    </w:pPr>
    <w:rPr>
      <w:sz w:val="20"/>
      <w:szCs w:val="20"/>
    </w:rPr>
  </w:style>
  <w:style w:type="character" w:customStyle="1" w:styleId="CommentTextChar">
    <w:name w:val="Comment Text Char"/>
    <w:basedOn w:val="DefaultParagraphFont"/>
    <w:link w:val="CommentText"/>
    <w:uiPriority w:val="99"/>
    <w:rsid w:val="00B77B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007645">
      <w:bodyDiv w:val="1"/>
      <w:marLeft w:val="0"/>
      <w:marRight w:val="0"/>
      <w:marTop w:val="0"/>
      <w:marBottom w:val="0"/>
      <w:divBdr>
        <w:top w:val="none" w:sz="0" w:space="0" w:color="auto"/>
        <w:left w:val="none" w:sz="0" w:space="0" w:color="auto"/>
        <w:bottom w:val="none" w:sz="0" w:space="0" w:color="auto"/>
        <w:right w:val="none" w:sz="0" w:space="0" w:color="auto"/>
      </w:divBdr>
    </w:div>
    <w:div w:id="13562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gasp-pgh.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4A196-FAE5-4606-9804-E62C170D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Campbell</dc:creator>
  <cp:keywords/>
  <dc:description/>
  <cp:lastModifiedBy>Amanda Gillooly</cp:lastModifiedBy>
  <cp:revision>2</cp:revision>
  <cp:lastPrinted>2023-07-21T18:47:00Z</cp:lastPrinted>
  <dcterms:created xsi:type="dcterms:W3CDTF">2025-07-24T13:14:00Z</dcterms:created>
  <dcterms:modified xsi:type="dcterms:W3CDTF">2025-07-24T13:14:00Z</dcterms:modified>
</cp:coreProperties>
</file>